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7"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8"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Πληροφορίες: Γ. Λιαμπότης</w:t>
            </w:r>
          </w:p>
          <w:p w:rsidR="00FD596D" w:rsidRPr="00646E59" w:rsidRDefault="00281C5E" w:rsidP="00281C5E">
            <w:pPr>
              <w:pStyle w:val="a3"/>
              <w:spacing w:line="276" w:lineRule="auto"/>
              <w:rPr>
                <w:rFonts w:cs="Arial"/>
                <w:sz w:val="20"/>
                <w:szCs w:val="20"/>
              </w:rPr>
            </w:pPr>
            <w:r>
              <w:rPr>
                <w:rFonts w:cs="Arial"/>
                <w:sz w:val="20"/>
                <w:szCs w:val="20"/>
              </w:rPr>
              <w:t>Τηλ</w:t>
            </w:r>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9"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0"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Pr="00820291" w:rsidRDefault="00EE2517" w:rsidP="00B11460">
            <w:pPr>
              <w:pStyle w:val="a3"/>
              <w:spacing w:line="276" w:lineRule="auto"/>
              <w:rPr>
                <w:rFonts w:cs="Arial"/>
                <w:b/>
                <w:szCs w:val="20"/>
              </w:rPr>
            </w:pPr>
            <w:r w:rsidRPr="00820291">
              <w:rPr>
                <w:rFonts w:cs="Arial"/>
                <w:b/>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r>
              <w:rPr>
                <w:rFonts w:cs="Arial"/>
                <w:sz w:val="20"/>
                <w:szCs w:val="20"/>
              </w:rPr>
              <w:t xml:space="preserve">Αρ.Πρωτ.  Βαθμός Προτερ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και εκπαιδευτικοί του π.δ.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(κ.ν.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προβλέπονται στην περίπτωση β΄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μοριοδοτούμενων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μοριοδοτείται.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διδακτορικού τίτλου σπουδών δεν μοριοδοτείται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διορισμό και εφόσον δεν υφίσταται η μοριοδότηση</w:t>
      </w:r>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βεβαιώσεις δεν μοριοδοτούνται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 20 δεν μοριοδοτούνται.</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ίδιας ξένης γλώσσας μοριοδοτείται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γνώση και δεύτερης ξένης γλώσσας μοριοδοτείται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 ήμισυ της μοριοδότησης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γνώση ξένης γλώσσας μοριοδοτείται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εδάφια μοριοδοτείται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ββ)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ίδιο χρονικό διάστημα δεν μοριοδοτείται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συμβούλια επιλογής στελεχών. Για τη μοριοδότηση</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διοικητικής εμπειρίας βραχύτερος του έτους μοριοδοτείται με το ένα τέταρτο (1/4) της αντίστοιχης ετήσιας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μοριοδότησης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Για την πιστοποίηση επιμόρφωσης στις Τ.Π.Ε. υποβάλλονται και μοριοδοτούνται, βεβαιώσεις πιστοποίησης, οι οποίες ορίζονται από τα προβλεπόμενα στις διαδικασίες επιλογής του Α.Σ.Ε.Π. Γίνονται επίσης δεκτά και μοριοδοτούνται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Τα χρονικά διαστήματα που μοριοδοτούνται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έχει καταθέσει προς μοριοδότηση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βιογραφικό του σημείωμα, αποδεικνύονται με παραστατικά (αντίγραφα, βεβαιώσεις) και δεν μοριοδοτούνται,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αρμοδιότητάς τους, αποστέλλοντας ταυτόχρονα και την αποτίμηση των μοριοδοτούμενων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επικαιροποιούν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σχολεία, πριν τη διαδικασία επιλογής</w:t>
      </w:r>
      <w:r>
        <w:rPr>
          <w:rFonts w:ascii="Arial" w:eastAsiaTheme="minorHAnsi" w:hAnsi="Arial" w:cs="Arial"/>
          <w:sz w:val="22"/>
          <w:szCs w:val="22"/>
          <w:lang w:eastAsia="en-US"/>
        </w:rPr>
        <w:t>.</w:t>
      </w:r>
      <w:r w:rsidRPr="005E0C18">
        <w:rPr>
          <w:rFonts w:ascii="Arial" w:hAnsi="Arial" w:cs="Arial"/>
          <w:sz w:val="22"/>
          <w:szCs w:val="22"/>
        </w:rPr>
        <w:t xml:space="preserve">Οι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bookmarkStart w:id="0" w:name="_GoBack"/>
      <w:r w:rsidRPr="00924B71">
        <w:rPr>
          <w:rFonts w:ascii="Arial" w:hAnsi="Arial" w:cs="Arial"/>
        </w:rPr>
        <w:t>Το εν λόγω πρακτικό επίσης περιλαμβάνει κατάσταση υποψηφίων που δεν έλαβαν το απαιτούμενο ποσοστό του 20% και αποκλείονται</w:t>
      </w:r>
      <w:bookmarkEnd w:id="0"/>
      <w:r w:rsidRPr="00924B71">
        <w:rPr>
          <w:rFonts w:ascii="Arial" w:hAnsi="Arial" w:cs="Arial"/>
        </w:rPr>
        <w:t xml:space="preserve">.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μοριοδότησης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καθώς και της μοριοδότησης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1"/>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DE" w:rsidRDefault="000D3ADE" w:rsidP="00674548">
      <w:r>
        <w:separator/>
      </w:r>
    </w:p>
  </w:endnote>
  <w:endnote w:type="continuationSeparator" w:id="1">
    <w:p w:rsidR="000D3ADE" w:rsidRDefault="000D3ADE" w:rsidP="006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fldSimple w:instr=" PAGE    \* MERGEFORMAT ">
          <w:r w:rsidR="00820291" w:rsidRPr="00820291">
            <w:rPr>
              <w:rFonts w:asciiTheme="majorHAnsi" w:hAnsiTheme="majorHAnsi"/>
              <w:noProof/>
              <w:sz w:val="28"/>
              <w:szCs w:val="28"/>
            </w:rPr>
            <w:t>1</w:t>
          </w:r>
        </w:fldSimple>
      </w:p>
    </w:sdtContent>
  </w:sdt>
  <w:p w:rsidR="00674548" w:rsidRDefault="006745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DE" w:rsidRDefault="000D3ADE" w:rsidP="00674548">
      <w:r>
        <w:separator/>
      </w:r>
    </w:p>
  </w:footnote>
  <w:footnote w:type="continuationSeparator" w:id="1">
    <w:p w:rsidR="000D3ADE" w:rsidRDefault="000D3ADE" w:rsidP="0067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72F0"/>
    <w:rsid w:val="00007A00"/>
    <w:rsid w:val="00046173"/>
    <w:rsid w:val="000B1232"/>
    <w:rsid w:val="000D3ADE"/>
    <w:rsid w:val="000F329B"/>
    <w:rsid w:val="00153B86"/>
    <w:rsid w:val="001F66F7"/>
    <w:rsid w:val="00281C5E"/>
    <w:rsid w:val="002A2E2D"/>
    <w:rsid w:val="002D7EBE"/>
    <w:rsid w:val="002E1412"/>
    <w:rsid w:val="00334E23"/>
    <w:rsid w:val="00384170"/>
    <w:rsid w:val="003D089C"/>
    <w:rsid w:val="00421DCC"/>
    <w:rsid w:val="00477FA5"/>
    <w:rsid w:val="004F5EFB"/>
    <w:rsid w:val="005174B1"/>
    <w:rsid w:val="005741EB"/>
    <w:rsid w:val="005C57A3"/>
    <w:rsid w:val="005D5C0F"/>
    <w:rsid w:val="005E7D3F"/>
    <w:rsid w:val="006108D6"/>
    <w:rsid w:val="00610DB4"/>
    <w:rsid w:val="00646E59"/>
    <w:rsid w:val="00656AB0"/>
    <w:rsid w:val="00674548"/>
    <w:rsid w:val="006852F1"/>
    <w:rsid w:val="006D3BEE"/>
    <w:rsid w:val="00707E1B"/>
    <w:rsid w:val="00795936"/>
    <w:rsid w:val="007A0257"/>
    <w:rsid w:val="007A72F0"/>
    <w:rsid w:val="00820291"/>
    <w:rsid w:val="00832434"/>
    <w:rsid w:val="008F40F9"/>
    <w:rsid w:val="00912F80"/>
    <w:rsid w:val="00924B71"/>
    <w:rsid w:val="009348F9"/>
    <w:rsid w:val="009D0FE0"/>
    <w:rsid w:val="009D1177"/>
    <w:rsid w:val="00A24C23"/>
    <w:rsid w:val="00AC360F"/>
    <w:rsid w:val="00AF146F"/>
    <w:rsid w:val="00AF5839"/>
    <w:rsid w:val="00B075DC"/>
    <w:rsid w:val="00B10CF7"/>
    <w:rsid w:val="00B11460"/>
    <w:rsid w:val="00B2488F"/>
    <w:rsid w:val="00B32250"/>
    <w:rsid w:val="00B966DF"/>
    <w:rsid w:val="00B972BB"/>
    <w:rsid w:val="00BC5F10"/>
    <w:rsid w:val="00BF35E2"/>
    <w:rsid w:val="00C17A3F"/>
    <w:rsid w:val="00C40CC9"/>
    <w:rsid w:val="00DC26FD"/>
    <w:rsid w:val="00DC3C60"/>
    <w:rsid w:val="00E16928"/>
    <w:rsid w:val="00E666C5"/>
    <w:rsid w:val="00EE2517"/>
    <w:rsid w:val="00EE69D4"/>
    <w:rsid w:val="00F2275B"/>
    <w:rsid w:val="00F31097"/>
    <w:rsid w:val="00FD596D"/>
    <w:rsid w:val="00FD62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lexi@minedu.gov,gr" TargetMode="External"/><Relationship Id="rId4" Type="http://schemas.openxmlformats.org/officeDocument/2006/relationships/webSettings" Target="webSettings.xml"/><Relationship Id="rId9" Type="http://schemas.openxmlformats.org/officeDocument/2006/relationships/hyperlink" Target="mailto:dp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4899</Words>
  <Characters>26457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LELA</cp:lastModifiedBy>
  <cp:revision>5</cp:revision>
  <cp:lastPrinted>2015-05-19T13:07:00Z</cp:lastPrinted>
  <dcterms:created xsi:type="dcterms:W3CDTF">2015-05-19T13:29:00Z</dcterms:created>
  <dcterms:modified xsi:type="dcterms:W3CDTF">2015-05-21T14:20:00Z</dcterms:modified>
</cp:coreProperties>
</file>